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Default Extension="psmdcp" ContentType="application/vnd.openxmlformats-package.core-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21d6bb39b0e84645" /><Relationship Type="http://schemas.openxmlformats.org/package/2006/relationships/metadata/core-properties" Target="package/services/metadata/core-properties/f3f16afe33a040fe9aac2a2412815d28.psmdcp" Id="R25577711b1a44c74"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RDefault="00000000" w14:paraId="00000001" wp14:textId="77777777">
      <w:pPr>
        <w:rPr>
          <w:sz w:val="18"/>
          <w:szCs w:val="18"/>
        </w:rPr>
      </w:pPr>
      <w:r>
        <w:rPr>
          <w:b w:val="1"/>
          <w:bCs w:val="1"/>
          <w:sz w:val="18"/>
          <w:szCs w:val="18"/>
          <w:rtl w:val="0"/>
        </w:rPr>
        <w:t xml:space="preserve">Subject</w:t>
      </w:r>
      <w:r>
        <w:rPr>
          <w:sz w:val="18"/>
          <w:szCs w:val="18"/>
          <w:rtl w:val="0"/>
        </w:rPr>
        <w:t xml:space="preserve">: Win Wire: The Jockey Club Technology Group and Mission</w:t>
      </w:r>
    </w:p>
    <w:p xmlns:wp14="http://schemas.microsoft.com/office/word/2010/wordml" w:rsidRDefault="00000000" w14:paraId="00000002" wp14:textId="77777777">
      <w:pPr>
        <w:rPr>
          <w:b w:val="1"/>
          <w:bCs w:val="1"/>
          <w:color w:val="808080"/>
          <w:sz w:val="15"/>
          <w:szCs w:val="15"/>
        </w:rPr>
      </w:pPr>
      <w:r>
        <w:rPr>
          <w:b w:val="1"/>
          <w:bCs w:val="1"/>
          <w:color w:val="808080"/>
          <w:sz w:val="15"/>
          <w:szCs w:val="15"/>
          <w:rtl w:val="0"/>
        </w:rPr>
        <w:t xml:space="preserve">AMAZON.COM CONFIDENTIAL</w:t>
      </w:r>
    </w:p>
    <w:p xmlns:wp14="http://schemas.microsoft.com/office/word/2010/wordml" w:rsidRDefault="00000000" w14:paraId="00000003" wp14:textId="77777777">
      <w:pPr>
        <w:rPr>
          <w:color w:val="3b3838"/>
          <w:sz w:val="18"/>
          <w:szCs w:val="18"/>
        </w:rPr>
      </w:pPr>
      <w:r>
        <w:rPr>
          <w:color w:val="3b3838"/>
          <w:sz w:val="18"/>
          <w:szCs w:val="18"/>
        </w:rPr>
        <w:drawing>
          <wp:inline xmlns:wp14="http://schemas.microsoft.com/office/word/2010/wordprocessingDrawing" distT="114300" distB="114300" distL="114300" distR="114300" wp14:anchorId="15F055F0" wp14:editId="7777777">
            <wp:extent cx="1468572" cy="680156"/>
            <wp:effectExtent l="0" t="0" r="0" b="0"/>
            <wp:docPr id="2" name="image1.png"/>
            <a:graphic>
              <a:graphicData uri="http://schemas.openxmlformats.org/drawingml/2006/picture">
                <pic:pic>
                  <pic:nvPicPr>
                    <pic:cNvPr id="0" name="image1.png"/>
                    <pic:cNvPicPr preferRelativeResize="0"/>
                  </pic:nvPicPr>
                  <pic:blipFill>
                    <a:blip r:embed="rId6"/>
                    <a:srcRect l="0" t="0" r="0" b="0"/>
                    <a:stretch>
                      <a:fillRect/>
                    </a:stretch>
                  </pic:blipFill>
                  <pic:spPr>
                    <a:xfrm>
                      <a:off x="0" y="0"/>
                      <a:ext cx="1468572" cy="680156"/>
                    </a:xfrm>
                    <a:prstGeom prst="rect"/>
                    <a:ln/>
                  </pic:spPr>
                </pic:pic>
              </a:graphicData>
            </a:graphic>
          </wp:inline>
        </w:drawing>
      </w:r>
      <w:r>
        <w:rPr>
          <w:color w:val="3b3838"/>
          <w:sz w:val="18"/>
          <w:szCs w:val="18"/>
          <w:rtl w:val="0"/>
        </w:rPr>
        <w:t xml:space="preserve">      </w:t>
      </w:r>
      <w:r>
        <w:rPr>
          <w:color w:val="3b3838"/>
          <w:sz w:val="18"/>
          <w:szCs w:val="18"/>
        </w:rPr>
        <w:drawing>
          <wp:inline xmlns:wp14="http://schemas.microsoft.com/office/word/2010/wordprocessingDrawing" distT="114300" distB="114300" distL="114300" distR="114300" wp14:anchorId="34F7591C" wp14:editId="7777777">
            <wp:extent cx="2014018" cy="756356"/>
            <wp:effectExtent l="0" t="0" r="0" b="0"/>
            <wp:docPr id="1" name="image2.png"/>
            <a:graphic>
              <a:graphicData uri="http://schemas.openxmlformats.org/drawingml/2006/picture">
                <pic:pic>
                  <pic:nvPicPr>
                    <pic:cNvPr id="0" name="image2.png"/>
                    <pic:cNvPicPr preferRelativeResize="0"/>
                  </pic:nvPicPr>
                  <pic:blipFill>
                    <a:blip r:embed="rId7"/>
                    <a:srcRect l="0" t="0" r="0" b="0"/>
                    <a:stretch>
                      <a:fillRect/>
                    </a:stretch>
                  </pic:blipFill>
                  <pic:spPr>
                    <a:xfrm>
                      <a:off x="0" y="0"/>
                      <a:ext cx="2014018" cy="756356"/>
                    </a:xfrm>
                    <a:prstGeom prst="rect"/>
                    <a:ln/>
                  </pic:spPr>
                </pic:pic>
              </a:graphicData>
            </a:graphic>
          </wp:inline>
        </w:drawing>
      </w:r>
      <w:r>
        <w:rPr>
          <w:rtl w:val="0"/>
        </w:rPr>
      </w:r>
    </w:p>
    <w:p xmlns:wp14="http://schemas.microsoft.com/office/word/2010/wordml" w:rsidRDefault="00000000" w14:paraId="00000004" wp14:textId="77777777">
      <w:pPr>
        <w:rPr>
          <w:sz w:val="18"/>
          <w:szCs w:val="18"/>
        </w:rPr>
      </w:pPr>
      <w:r>
        <w:rPr>
          <w:b w:val="1"/>
          <w:bCs w:val="1"/>
          <w:sz w:val="18"/>
          <w:szCs w:val="18"/>
          <w:rtl w:val="0"/>
        </w:rPr>
        <w:t xml:space="preserve">Customer</w:t>
      </w:r>
      <w:r>
        <w:rPr>
          <w:sz w:val="18"/>
          <w:szCs w:val="18"/>
          <w:rtl w:val="0"/>
        </w:rPr>
        <w:t xml:space="preserve">: The Jockey Club Technology Group</w:t>
      </w:r>
    </w:p>
    <w:p xmlns:wp14="http://schemas.microsoft.com/office/word/2010/wordml" w:rsidRDefault="00000000" w14:paraId="00000005" wp14:textId="77777777">
      <w:pPr>
        <w:rPr>
          <w:sz w:val="18"/>
          <w:szCs w:val="18"/>
        </w:rPr>
      </w:pPr>
      <w:r>
        <w:rPr>
          <w:b w:val="1"/>
          <w:bCs w:val="1"/>
          <w:sz w:val="18"/>
          <w:szCs w:val="18"/>
          <w:rtl w:val="0"/>
        </w:rPr>
        <w:t xml:space="preserve">Geography</w:t>
      </w:r>
      <w:r>
        <w:rPr>
          <w:sz w:val="18"/>
          <w:szCs w:val="18"/>
          <w:rtl w:val="0"/>
        </w:rPr>
        <w:t xml:space="preserve">: SMB-Central</w:t>
      </w:r>
    </w:p>
    <w:p xmlns:wp14="http://schemas.microsoft.com/office/word/2010/wordml" w:rsidRDefault="00000000" w14:paraId="00000006" wp14:textId="77777777">
      <w:pPr>
        <w:rPr>
          <w:sz w:val="18"/>
          <w:szCs w:val="18"/>
        </w:rPr>
      </w:pPr>
      <w:r>
        <w:rPr>
          <w:b w:val="1"/>
          <w:bCs w:val="1"/>
          <w:sz w:val="18"/>
          <w:szCs w:val="18"/>
          <w:rtl w:val="0"/>
        </w:rPr>
        <w:t xml:space="preserve">Industry</w:t>
      </w:r>
      <w:r>
        <w:rPr>
          <w:sz w:val="18"/>
          <w:szCs w:val="18"/>
          <w:rtl w:val="0"/>
        </w:rPr>
        <w:t xml:space="preserve">: Information Technology</w:t>
      </w:r>
    </w:p>
    <w:p xmlns:wp14="http://schemas.microsoft.com/office/word/2010/wordml" w:rsidRDefault="00000000" w14:paraId="00000007" wp14:textId="77777777">
      <w:pPr>
        <w:rPr>
          <w:sz w:val="18"/>
          <w:szCs w:val="18"/>
        </w:rPr>
      </w:pPr>
      <w:r>
        <w:rPr>
          <w:b w:val="1"/>
          <w:bCs w:val="1"/>
          <w:sz w:val="18"/>
          <w:szCs w:val="18"/>
          <w:rtl w:val="0"/>
        </w:rPr>
        <w:t xml:space="preserve">Multi-year</w:t>
      </w:r>
      <w:r>
        <w:rPr>
          <w:sz w:val="18"/>
          <w:szCs w:val="18"/>
          <w:rtl w:val="0"/>
        </w:rPr>
        <w:t xml:space="preserve">: No</w:t>
      </w:r>
    </w:p>
    <w:p xmlns:wp14="http://schemas.microsoft.com/office/word/2010/wordml" w:rsidRDefault="00000000" w14:paraId="00000008" wp14:textId="77777777">
      <w:pPr>
        <w:rPr>
          <w:sz w:val="18"/>
          <w:szCs w:val="18"/>
        </w:rPr>
      </w:pPr>
      <w:r>
        <w:rPr>
          <w:b w:val="1"/>
          <w:bCs w:val="1"/>
          <w:sz w:val="18"/>
          <w:szCs w:val="18"/>
          <w:rtl w:val="0"/>
        </w:rPr>
        <w:t xml:space="preserve">Competitive</w:t>
      </w:r>
      <w:r>
        <w:rPr>
          <w:sz w:val="18"/>
          <w:szCs w:val="18"/>
          <w:rtl w:val="0"/>
        </w:rPr>
        <w:t xml:space="preserve">: Yes</w:t>
      </w:r>
    </w:p>
    <w:p xmlns:wp14="http://schemas.microsoft.com/office/word/2010/wordml" w:rsidRDefault="00000000" w14:paraId="00000009" wp14:textId="77777777">
      <w:pPr>
        <w:rPr>
          <w:sz w:val="18"/>
          <w:szCs w:val="18"/>
        </w:rPr>
      </w:pPr>
      <w:r>
        <w:rPr>
          <w:b w:val="1"/>
          <w:bCs w:val="1"/>
          <w:sz w:val="18"/>
          <w:szCs w:val="18"/>
          <w:rtl w:val="0"/>
        </w:rPr>
        <w:t xml:space="preserve">Reference Status:</w:t>
      </w:r>
      <w:r>
        <w:rPr>
          <w:sz w:val="18"/>
          <w:szCs w:val="18"/>
          <w:rtl w:val="0"/>
        </w:rPr>
        <w:t xml:space="preserve"> Not a public reference</w:t>
      </w:r>
    </w:p>
    <w:p xmlns:wp14="http://schemas.microsoft.com/office/word/2010/wordml" w:rsidRDefault="00000000" w14:paraId="0000000A" wp14:textId="77777777">
      <w:pPr>
        <w:rPr>
          <w:sz w:val="18"/>
          <w:szCs w:val="18"/>
        </w:rPr>
      </w:pPr>
      <w:r>
        <w:rPr>
          <w:b w:val="1"/>
          <w:bCs w:val="1"/>
          <w:sz w:val="18"/>
          <w:szCs w:val="18"/>
          <w:rtl w:val="0"/>
        </w:rPr>
        <w:t xml:space="preserve">Use Case</w:t>
      </w:r>
      <w:r>
        <w:rPr>
          <w:sz w:val="18"/>
          <w:szCs w:val="18"/>
          <w:rtl w:val="0"/>
        </w:rPr>
        <w:t xml:space="preserve">: Migration &amp; modernization</w:t>
      </w:r>
    </w:p>
    <w:p xmlns:wp14="http://schemas.microsoft.com/office/word/2010/wordml" w:rsidRDefault="00000000" w14:paraId="0000000B" wp14:textId="77777777">
      <w:pPr>
        <w:rPr>
          <w:strike w:val="1"/>
          <w:sz w:val="18"/>
          <w:szCs w:val="18"/>
        </w:rPr>
      </w:pPr>
      <w:r>
        <w:rPr>
          <w:b w:val="1"/>
          <w:bCs w:val="1"/>
          <w:sz w:val="18"/>
          <w:szCs w:val="18"/>
          <w:rtl w:val="0"/>
        </w:rPr>
        <w:t xml:space="preserve">AWS Categories and Services:</w:t>
      </w:r>
      <w:r>
        <w:rPr>
          <w:sz w:val="18"/>
          <w:szCs w:val="18"/>
          <w:rtl w:val="0"/>
        </w:rPr>
        <w:t xml:space="preserve"> AWS Control Tower, AWS Transit Gateway, AWS Network Firewall</w:t>
      </w:r>
      <w:r>
        <w:rPr>
          <w:rtl w:val="0"/>
        </w:rPr>
      </w:r>
    </w:p>
    <w:p xmlns:wp14="http://schemas.microsoft.com/office/word/2010/wordml" w:rsidRDefault="00000000" w14:paraId="0000000C" wp14:textId="77777777">
      <w:pPr>
        <w:rPr>
          <w:strike w:val="1"/>
          <w:sz w:val="18"/>
          <w:szCs w:val="18"/>
        </w:rPr>
      </w:pPr>
      <w:r>
        <w:rPr>
          <w:b w:val="1"/>
          <w:bCs w:val="1"/>
          <w:sz w:val="18"/>
          <w:szCs w:val="18"/>
          <w:rtl w:val="0"/>
        </w:rPr>
        <w:t xml:space="preserve">Partner Competency:</w:t>
      </w:r>
      <w:r>
        <w:rPr>
          <w:sz w:val="18"/>
          <w:szCs w:val="18"/>
          <w:rtl w:val="0"/>
        </w:rPr>
        <w:t xml:space="preserve"> Migration</w:t>
      </w:r>
      <w:r>
        <w:rPr>
          <w:rtl w:val="0"/>
        </w:rPr>
      </w:r>
    </w:p>
    <w:p xmlns:wp14="http://schemas.microsoft.com/office/word/2010/wordml" w:rsidRDefault="00000000" w14:paraId="0000000D" wp14:textId="77777777">
      <w:pPr>
        <w:rPr>
          <w:sz w:val="18"/>
          <w:szCs w:val="18"/>
        </w:rPr>
      </w:pPr>
      <w:r>
        <w:rPr>
          <w:b w:val="1"/>
          <w:bCs w:val="1"/>
          <w:sz w:val="18"/>
          <w:szCs w:val="18"/>
          <w:rtl w:val="0"/>
        </w:rPr>
        <w:t xml:space="preserve">PS Sum:</w:t>
      </w:r>
      <w:r>
        <w:rPr>
          <w:sz w:val="18"/>
          <w:szCs w:val="18"/>
          <w:rtl w:val="0"/>
        </w:rPr>
        <w:t xml:space="preserve"> $1,042,450</w:t>
      </w:r>
    </w:p>
    <w:p xmlns:wp14="http://schemas.microsoft.com/office/word/2010/wordml" w:rsidRDefault="00000000" w14:paraId="0000000E" wp14:textId="77777777">
      <w:pPr>
        <w:rPr>
          <w:sz w:val="18"/>
          <w:szCs w:val="18"/>
        </w:rPr>
      </w:pPr>
      <w:r>
        <w:rPr>
          <w:b w:val="1"/>
          <w:bCs w:val="1"/>
          <w:sz w:val="18"/>
          <w:szCs w:val="18"/>
          <w:rtl w:val="0"/>
        </w:rPr>
        <w:t xml:space="preserve">Est. ARR:</w:t>
      </w:r>
      <w:r>
        <w:rPr>
          <w:sz w:val="18"/>
          <w:szCs w:val="18"/>
          <w:rtl w:val="0"/>
        </w:rPr>
        <w:t xml:space="preserve"> $550k</w:t>
      </w:r>
    </w:p>
    <w:p xmlns:wp14="http://schemas.microsoft.com/office/word/2010/wordml" w:rsidRDefault="00000000" w14:paraId="0000000F" wp14:textId="77777777">
      <w:pPr>
        <w:rPr>
          <w:sz w:val="18"/>
          <w:szCs w:val="18"/>
        </w:rPr>
      </w:pPr>
      <w:r>
        <w:rPr>
          <w:rtl w:val="0"/>
        </w:rPr>
      </w:r>
    </w:p>
    <w:p xmlns:wp14="http://schemas.microsoft.com/office/word/2010/wordml" w:rsidRDefault="00000000" w14:paraId="00000010" wp14:textId="77777777">
      <w:pPr>
        <w:rPr>
          <w:b w:val="1"/>
          <w:bCs w:val="1"/>
          <w:sz w:val="18"/>
          <w:szCs w:val="18"/>
        </w:rPr>
      </w:pPr>
      <w:r>
        <w:rPr>
          <w:b w:val="1"/>
          <w:bCs w:val="1"/>
          <w:sz w:val="18"/>
          <w:szCs w:val="18"/>
          <w:rtl w:val="0"/>
        </w:rPr>
        <w:t xml:space="preserve">Customer Profile</w:t>
      </w:r>
    </w:p>
    <w:p xmlns:wp14="http://schemas.microsoft.com/office/word/2010/wordml" w:rsidRDefault="00000000" w14:paraId="00000011" wp14:textId="77777777">
      <w:pPr>
        <w:rPr>
          <w:sz w:val="18"/>
          <w:szCs w:val="18"/>
        </w:rPr>
      </w:pPr>
      <w:r>
        <w:rPr>
          <w:sz w:val="18"/>
          <w:szCs w:val="18"/>
          <w:rtl w:val="0"/>
        </w:rPr>
        <w:t xml:space="preserve">The Jockey Club Technology Group (TJCTG) provides technology solutions that encompass software development, technology consulting, and hosting and managed services to address organizations' complex business needs. TJCTS serves The Jockey Club companies, the Thoroughbred industry as a whole, and other clients by collecting and managing data that is truly the source of truth for the entire Thoroughbred industry.</w:t>
      </w:r>
      <w:r>
        <w:rPr>
          <w:rtl w:val="0"/>
        </w:rPr>
      </w:r>
    </w:p>
    <w:p xmlns:wp14="http://schemas.microsoft.com/office/word/2010/wordml" w:rsidRDefault="00000000" w14:paraId="00000012" wp14:textId="77777777">
      <w:pPr>
        <w:rPr>
          <w:sz w:val="18"/>
          <w:szCs w:val="18"/>
        </w:rPr>
      </w:pPr>
      <w:r>
        <w:rPr>
          <w:rtl w:val="0"/>
        </w:rPr>
      </w:r>
    </w:p>
    <w:p xmlns:wp14="http://schemas.microsoft.com/office/word/2010/wordml" w:rsidRDefault="00000000" w14:paraId="00000013" wp14:textId="77777777">
      <w:pPr>
        <w:rPr>
          <w:b w:val="1"/>
          <w:bCs w:val="1"/>
          <w:sz w:val="18"/>
          <w:szCs w:val="18"/>
        </w:rPr>
      </w:pPr>
      <w:r>
        <w:rPr>
          <w:b w:val="1"/>
          <w:bCs w:val="1"/>
          <w:sz w:val="18"/>
          <w:szCs w:val="18"/>
          <w:rtl w:val="0"/>
        </w:rPr>
        <w:t xml:space="preserve">The Opportunity</w:t>
      </w:r>
      <w:r>
        <w:rPr>
          <w:b w:val="1"/>
          <w:bCs w:val="1"/>
          <w:sz w:val="18"/>
          <w:szCs w:val="18"/>
          <w:rtl w:val="0"/>
        </w:rPr>
        <w:t xml:space="preserve">/Challenge</w:t>
      </w:r>
    </w:p>
    <w:p xmlns:wp14="http://schemas.microsoft.com/office/word/2010/wordml" w:rsidRDefault="00000000" w14:paraId="00000014" wp14:textId="77777777">
      <w:pPr>
        <w:rPr>
          <w:sz w:val="18"/>
          <w:szCs w:val="18"/>
        </w:rPr>
      </w:pPr>
      <w:r>
        <w:rPr>
          <w:sz w:val="18"/>
          <w:szCs w:val="18"/>
          <w:rtl w:val="0"/>
        </w:rPr>
        <w:t xml:space="preserve">TJCTS was operating an on-premises data center containing approximately 25 VMware host servers and 600 VMs, with databases spanning Sybase (in place for 29 years), MS SQL, and MySQL maintained by three full-time DBAs. The organization needed to considerably shrink its overall infrastructure footprint, move away from managing data centers, and modernize its legacy stack through further AWS adoption. Modernizing away from Sybase into AWS-native offerings was priority #1, as access to and innovation with data becomes increasingly crucial for the customer. The migration required not only modernizing the data store with more modern database engine types like SQL Server but also optimizing processes from data collection to data distribution.</w:t>
      </w:r>
      <w:r>
        <w:rPr>
          <w:rtl w:val="0"/>
        </w:rPr>
      </w:r>
    </w:p>
    <w:p xmlns:wp14="http://schemas.microsoft.com/office/word/2010/wordml" w:rsidRDefault="00000000" w14:paraId="00000015" wp14:textId="77777777">
      <w:pPr>
        <w:rPr>
          <w:sz w:val="18"/>
          <w:szCs w:val="18"/>
        </w:rPr>
      </w:pPr>
      <w:r>
        <w:rPr>
          <w:rtl w:val="0"/>
        </w:rPr>
      </w:r>
    </w:p>
    <w:p xmlns:wp14="http://schemas.microsoft.com/office/word/2010/wordml" w:rsidRDefault="00000000" w14:paraId="00000016" wp14:textId="77777777">
      <w:pPr>
        <w:rPr>
          <w:b w:val="1"/>
          <w:bCs w:val="1"/>
          <w:sz w:val="18"/>
          <w:szCs w:val="18"/>
        </w:rPr>
      </w:pPr>
      <w:r>
        <w:rPr>
          <w:b w:val="1"/>
          <w:bCs w:val="1"/>
          <w:sz w:val="18"/>
          <w:szCs w:val="18"/>
          <w:rtl w:val="0"/>
        </w:rPr>
        <w:t xml:space="preserve">The Solution</w:t>
      </w:r>
    </w:p>
    <w:p xmlns:wp14="http://schemas.microsoft.com/office/word/2010/wordml" w:rsidRDefault="00000000" w14:paraId="00000017" wp14:textId="77777777">
      <w:pPr>
        <w:rPr>
          <w:sz w:val="18"/>
          <w:szCs w:val="18"/>
        </w:rPr>
      </w:pPr>
      <w:r>
        <w:rPr>
          <w:sz w:val="18"/>
          <w:szCs w:val="18"/>
          <w:rtl w:val="0"/>
        </w:rPr>
        <w:t xml:space="preserve">Mission partnered with TJCTS to deliver a comprehensive MAP Mobilize phase encompassing landing zone establishment, network architecture design, database migration, and application workload migration. The solution includes:</w:t>
      </w:r>
    </w:p>
    <w:p xmlns:wp14="http://schemas.microsoft.com/office/word/2010/wordml" w:rsidRDefault="00000000" w14:paraId="00000018" wp14:textId="77777777">
      <w:pPr>
        <w:numPr>
          <w:ilvl w:val="0"/>
          <w:numId w:val="1"/>
        </w:numPr>
        <w:spacing w:before="240" w:after="0" w:afterAutospacing="0" w:lineRule="auto"/>
        <w:ind w:left="720" w:hanging="360"/>
        <w:rPr>
          <w:sz w:val="18"/>
          <w:szCs w:val="18"/>
        </w:rPr>
      </w:pPr>
      <w:r>
        <w:rPr>
          <w:b w:val="1"/>
          <w:bCs w:val="1"/>
          <w:sz w:val="18"/>
          <w:szCs w:val="18"/>
          <w:rtl w:val="0"/>
        </w:rPr>
        <w:t xml:space="preserve">AWS Landing Zone:</w:t>
      </w:r>
      <w:r>
        <w:rPr>
          <w:sz w:val="18"/>
          <w:szCs w:val="18"/>
          <w:rtl w:val="0"/>
        </w:rPr>
        <w:t xml:space="preserve"> Deployment of AWS Control Tower for multi-account management, enrollment of up to 25 existing accounts, provisioning of up to 15 new workload accounts, implementation of security controls and AWS Config conformance packs, and integration with on-premises Active Directory via IAM Identity Center</w:t>
      </w:r>
    </w:p>
    <w:p xmlns:wp14="http://schemas.microsoft.com/office/word/2010/wordml" w:rsidRDefault="00000000" w14:paraId="00000019" wp14:textId="77777777">
      <w:pPr>
        <w:numPr>
          <w:ilvl w:val="0"/>
          <w:numId w:val="1"/>
        </w:numPr>
        <w:spacing w:before="0" w:beforeAutospacing="0" w:after="0" w:afterAutospacing="0" w:lineRule="auto"/>
        <w:ind w:left="720" w:hanging="360"/>
        <w:rPr>
          <w:sz w:val="18"/>
          <w:szCs w:val="18"/>
        </w:rPr>
      </w:pPr>
      <w:r>
        <w:rPr>
          <w:b w:val="1"/>
          <w:bCs w:val="1"/>
          <w:sz w:val="18"/>
          <w:szCs w:val="18"/>
          <w:rtl w:val="0"/>
        </w:rPr>
        <w:t xml:space="preserve">Network Architecture:</w:t>
      </w:r>
      <w:r>
        <w:rPr>
          <w:sz w:val="18"/>
          <w:szCs w:val="18"/>
          <w:rtl w:val="0"/>
        </w:rPr>
        <w:t xml:space="preserve"> Hub-and-spoke network topology built around Transit Gateway with centralized internet egress through shared NAT Gateways, outbound inspection using AWS Network Firewall, ingress protection using AWS WAF, and site-to-site VPNs for hybrid connectivity</w:t>
      </w:r>
    </w:p>
    <w:p xmlns:wp14="http://schemas.microsoft.com/office/word/2010/wordml" w:rsidRDefault="00000000" w14:paraId="0000001A" wp14:textId="77777777">
      <w:pPr>
        <w:numPr>
          <w:ilvl w:val="0"/>
          <w:numId w:val="1"/>
        </w:numPr>
        <w:spacing w:before="0" w:beforeAutospacing="0" w:after="0" w:afterAutospacing="0" w:lineRule="auto"/>
        <w:ind w:left="720" w:hanging="360"/>
        <w:rPr>
          <w:sz w:val="18"/>
          <w:szCs w:val="18"/>
        </w:rPr>
      </w:pPr>
      <w:r>
        <w:rPr>
          <w:b w:val="1"/>
          <w:bCs w:val="1"/>
          <w:sz w:val="18"/>
          <w:szCs w:val="18"/>
          <w:rtl w:val="0"/>
        </w:rPr>
        <w:t xml:space="preserve">Infrastructure as Code:</w:t>
      </w:r>
      <w:r>
        <w:rPr>
          <w:sz w:val="18"/>
          <w:szCs w:val="18"/>
          <w:rtl w:val="0"/>
        </w:rPr>
        <w:t xml:space="preserve"> Establishment of Terraform repositories and CI/CD pipelines in Customer's GitLab environment for automated, repeatable deployments</w:t>
      </w:r>
    </w:p>
    <w:p xmlns:wp14="http://schemas.microsoft.com/office/word/2010/wordml" w:rsidRDefault="00000000" w14:paraId="0000001B" wp14:textId="77777777">
      <w:pPr>
        <w:numPr>
          <w:ilvl w:val="0"/>
          <w:numId w:val="1"/>
        </w:numPr>
        <w:spacing w:before="0" w:beforeAutospacing="0" w:after="0" w:afterAutospacing="0" w:lineRule="auto"/>
        <w:ind w:left="720" w:hanging="360"/>
        <w:rPr>
          <w:sz w:val="18"/>
          <w:szCs w:val="18"/>
        </w:rPr>
      </w:pPr>
      <w:r>
        <w:rPr>
          <w:b w:val="1"/>
          <w:bCs w:val="1"/>
          <w:sz w:val="18"/>
          <w:szCs w:val="18"/>
          <w:rtl w:val="0"/>
        </w:rPr>
        <w:t xml:space="preserve">Database Migration:</w:t>
      </w:r>
      <w:r>
        <w:rPr>
          <w:sz w:val="18"/>
          <w:szCs w:val="18"/>
          <w:rtl w:val="0"/>
        </w:rPr>
        <w:t xml:space="preserve"> Migration of Sybase databases (23,625 total objects including 11,051 procedures, 2,353 tables, 2,308 views, and 3,321 triggers) to SQL Server using AWS DMS and SSMA, with three migration iterations including testing and performance tuning</w:t>
      </w:r>
    </w:p>
    <w:p xmlns:wp14="http://schemas.microsoft.com/office/word/2010/wordml" w:rsidP="231ADB69" w:rsidRDefault="00000000" w14:paraId="0000001C" wp14:textId="77777777">
      <w:pPr>
        <w:numPr>
          <w:ilvl w:val="0"/>
          <w:numId w:val="1"/>
        </w:numPr>
        <w:spacing w:before="0" w:beforeAutospacing="off" w:after="0" w:afterAutospacing="off" w:lineRule="auto"/>
        <w:ind w:left="720" w:hanging="360"/>
        <w:rPr>
          <w:sz w:val="18"/>
          <w:szCs w:val="18"/>
          <w:lang w:val="en-US"/>
        </w:rPr>
      </w:pPr>
      <w:r w:rsidRPr="231ADB69" w:rsidR="231ADB69">
        <w:rPr>
          <w:b w:val="1"/>
          <w:bCs w:val="1"/>
          <w:sz w:val="18"/>
          <w:szCs w:val="18"/>
          <w:lang w:val="en-US"/>
        </w:rPr>
        <w:t>Application Migration:</w:t>
      </w:r>
      <w:r w:rsidRPr="231ADB69" w:rsidR="231ADB69">
        <w:rPr>
          <w:sz w:val="18"/>
          <w:szCs w:val="18"/>
          <w:lang w:val="en-US"/>
        </w:rPr>
        <w:t xml:space="preserve"> Migration of InCompass, Industry, TJCTS, TJCIS, and TJC application workloads using AWS Application Migration Service, with NAS share replication via AWS DataSync to Amazon FSx</w:t>
      </w:r>
    </w:p>
    <w:p xmlns:wp14="http://schemas.microsoft.com/office/word/2010/wordml" w:rsidRDefault="00000000" w14:paraId="0000001D" wp14:textId="77777777">
      <w:pPr>
        <w:numPr>
          <w:ilvl w:val="0"/>
          <w:numId w:val="1"/>
        </w:numPr>
        <w:spacing w:before="0" w:beforeAutospacing="0" w:after="240" w:lineRule="auto"/>
        <w:ind w:left="720" w:hanging="360"/>
        <w:rPr>
          <w:sz w:val="18"/>
          <w:szCs w:val="18"/>
        </w:rPr>
      </w:pPr>
      <w:r>
        <w:rPr>
          <w:b w:val="1"/>
          <w:bCs w:val="1"/>
          <w:sz w:val="18"/>
          <w:szCs w:val="18"/>
          <w:rtl w:val="0"/>
        </w:rPr>
        <w:t xml:space="preserve">Disaster Recovery:</w:t>
      </w:r>
      <w:r>
        <w:rPr>
          <w:sz w:val="18"/>
          <w:szCs w:val="18"/>
          <w:rtl w:val="0"/>
        </w:rPr>
        <w:t xml:space="preserve"> Configuration of AWS Backup with cross-region replication and AWS Elastic Disaster Recovery setup for failover capabilities</w:t>
      </w:r>
      <w:r>
        <w:rPr>
          <w:rtl w:val="0"/>
        </w:rPr>
      </w:r>
    </w:p>
    <w:p xmlns:wp14="http://schemas.microsoft.com/office/word/2010/wordml" w:rsidRDefault="00000000" w14:paraId="0000001E" wp14:textId="77777777">
      <w:pPr>
        <w:rPr>
          <w:b w:val="1"/>
          <w:bCs w:val="1"/>
          <w:sz w:val="18"/>
          <w:szCs w:val="18"/>
        </w:rPr>
      </w:pPr>
      <w:r>
        <w:rPr>
          <w:b w:val="1"/>
          <w:bCs w:val="1"/>
          <w:sz w:val="18"/>
          <w:szCs w:val="18"/>
          <w:rtl w:val="0"/>
        </w:rPr>
        <w:t xml:space="preserve">How We Won</w:t>
      </w:r>
      <w:r>
        <w:rPr>
          <w:rtl w:val="0"/>
        </w:rPr>
      </w:r>
    </w:p>
    <w:p xmlns:wp14="http://schemas.microsoft.com/office/word/2010/wordml" w:rsidP="231ADB69" w:rsidRDefault="00000000" w14:paraId="0000001F" wp14:textId="77777777">
      <w:pPr>
        <w:rPr>
          <w:sz w:val="18"/>
          <w:szCs w:val="18"/>
          <w:lang w:val="en-US"/>
        </w:rPr>
      </w:pPr>
      <w:r w:rsidRPr="231ADB69" w:rsidR="231ADB69">
        <w:rPr>
          <w:sz w:val="18"/>
          <w:szCs w:val="18"/>
          <w:lang w:val="en-US"/>
        </w:rPr>
        <w:t>TJCTS began working with Mission last year to assess their migration and modernization strategy for their on-premises data center. After evaluating several AWS partners, TJCTS selected Mission based on our deep expertise in complex legacy system migrations and our white glove pre-sales approach.</w:t>
      </w:r>
    </w:p>
    <w:p xmlns:wp14="http://schemas.microsoft.com/office/word/2010/wordml" w:rsidRDefault="00000000" w14:paraId="00000020" wp14:textId="77777777">
      <w:pPr>
        <w:rPr>
          <w:sz w:val="18"/>
          <w:szCs w:val="18"/>
        </w:rPr>
      </w:pPr>
      <w:r>
        <w:rPr>
          <w:rtl w:val="0"/>
        </w:rPr>
      </w:r>
    </w:p>
    <w:p xmlns:wp14="http://schemas.microsoft.com/office/word/2010/wordml" w:rsidP="231ADB69" w:rsidRDefault="00000000" w14:paraId="00000021" wp14:textId="77777777">
      <w:pPr>
        <w:rPr>
          <w:sz w:val="18"/>
          <w:szCs w:val="18"/>
          <w:lang w:val="en-US"/>
        </w:rPr>
      </w:pPr>
      <w:r w:rsidRPr="231ADB69" w:rsidR="231ADB69">
        <w:rPr>
          <w:sz w:val="18"/>
          <w:szCs w:val="18"/>
          <w:lang w:val="en-US"/>
        </w:rPr>
        <w:t xml:space="preserve">Mission's agility and customer-centric approach proved critical in winning this deal. For a customer migrating a 29-year-old Sybase system, we reworked the Statement of Work approximately five times before arriving at the final contract. This iterative process built trust that Mission had both the technical capability and flexibility to provide guidance matching the speed and evolving needs of TJCTS. </w:t>
      </w:r>
    </w:p>
    <w:p xmlns:wp14="http://schemas.microsoft.com/office/word/2010/wordml" w:rsidRDefault="00000000" w14:paraId="00000022" wp14:textId="77777777">
      <w:pPr>
        <w:rPr>
          <w:sz w:val="18"/>
          <w:szCs w:val="18"/>
        </w:rPr>
      </w:pPr>
      <w:r>
        <w:rPr>
          <w:rtl w:val="0"/>
        </w:rPr>
      </w:r>
    </w:p>
    <w:p xmlns:wp14="http://schemas.microsoft.com/office/word/2010/wordml" w:rsidP="231ADB69" w:rsidRDefault="00000000" w14:paraId="00000023" wp14:textId="77777777">
      <w:pPr>
        <w:rPr>
          <w:sz w:val="18"/>
          <w:szCs w:val="18"/>
          <w:lang w:val="en-US"/>
        </w:rPr>
      </w:pPr>
      <w:r w:rsidRPr="231ADB69" w:rsidR="231ADB69">
        <w:rPr>
          <w:sz w:val="18"/>
          <w:szCs w:val="18"/>
          <w:lang w:val="en-US"/>
        </w:rPr>
        <w:t>Executive engagement proved critical. We invested in relationship building through an on-site visit in NYC at a Knicks vs. Cavs game in February and dedicated time from Mission President Ted Stuart and CTO Jonathan LaCour with TJCTS leadership at AWS re:Invent. We maintained consistent communication throughout the sales cycle, including during team transitions. AWS executive sponsorship from Ray Thomas supporting Pete Chatz and the Mission team ensured strong alignment and access to necessary AWS resources.</w:t>
      </w:r>
    </w:p>
    <w:p xmlns:wp14="http://schemas.microsoft.com/office/word/2010/wordml" w:rsidRDefault="00000000" w14:paraId="00000024" wp14:textId="77777777">
      <w:pPr>
        <w:rPr>
          <w:sz w:val="18"/>
          <w:szCs w:val="18"/>
        </w:rPr>
      </w:pPr>
      <w:r>
        <w:rPr>
          <w:rtl w:val="0"/>
        </w:rPr>
      </w:r>
    </w:p>
    <w:p xmlns:wp14="http://schemas.microsoft.com/office/word/2010/wordml" w:rsidRDefault="00000000" w14:paraId="00000025" wp14:textId="77777777">
      <w:pPr>
        <w:rPr>
          <w:sz w:val="18"/>
          <w:szCs w:val="18"/>
        </w:rPr>
      </w:pPr>
      <w:r>
        <w:rPr>
          <w:sz w:val="18"/>
          <w:szCs w:val="18"/>
          <w:rtl w:val="0"/>
        </w:rPr>
        <w:t xml:space="preserve">Our differentiation ultimately came through three factors: our proven expertise in complex legacy database migrations backed by industry-specific case studies and references, our comprehensive bench of specialized resources (now also powered by the CDW engine), and our white glove pre-sales approach that proved we were a committed partner invested in long-term success rather than just another vendor pursuing a transaction.</w:t>
      </w:r>
      <w:r>
        <w:rPr>
          <w:rtl w:val="0"/>
        </w:rPr>
      </w:r>
    </w:p>
    <w:p xmlns:wp14="http://schemas.microsoft.com/office/word/2010/wordml" w:rsidRDefault="00000000" w14:paraId="00000026" wp14:textId="77777777">
      <w:pPr>
        <w:rPr>
          <w:sz w:val="18"/>
          <w:szCs w:val="18"/>
        </w:rPr>
      </w:pPr>
      <w:r>
        <w:rPr>
          <w:rtl w:val="0"/>
        </w:rPr>
      </w:r>
    </w:p>
    <w:p xmlns:wp14="http://schemas.microsoft.com/office/word/2010/wordml" w:rsidRDefault="00000000" w14:paraId="00000027" wp14:textId="77777777">
      <w:pPr>
        <w:rPr>
          <w:b w:val="1"/>
          <w:bCs w:val="1"/>
          <w:sz w:val="18"/>
          <w:szCs w:val="18"/>
        </w:rPr>
      </w:pPr>
      <w:r>
        <w:rPr>
          <w:b w:val="1"/>
          <w:bCs w:val="1"/>
          <w:sz w:val="18"/>
          <w:szCs w:val="18"/>
          <w:rtl w:val="0"/>
        </w:rPr>
        <w:t xml:space="preserve">Account Team </w:t>
      </w:r>
    </w:p>
    <w:p xmlns:wp14="http://schemas.microsoft.com/office/word/2010/wordml" w:rsidRDefault="00000000" w14:paraId="00000028" wp14:textId="77777777">
      <w:pPr>
        <w:rPr>
          <w:sz w:val="18"/>
          <w:szCs w:val="18"/>
        </w:rPr>
      </w:pPr>
      <w:r>
        <w:rPr>
          <w:sz w:val="18"/>
          <w:szCs w:val="18"/>
          <w:rtl w:val="0"/>
        </w:rPr>
        <w:t xml:space="preserve">Michela Vanjo, Sr. Account Executive, Mission</w:t>
      </w:r>
      <w:r>
        <w:rPr>
          <w:rtl w:val="0"/>
        </w:rPr>
      </w:r>
    </w:p>
    <w:p xmlns:wp14="http://schemas.microsoft.com/office/word/2010/wordml" w:rsidRDefault="00000000" w14:paraId="00000029" wp14:textId="77777777">
      <w:pPr>
        <w:rPr>
          <w:sz w:val="18"/>
          <w:szCs w:val="18"/>
        </w:rPr>
      </w:pPr>
      <w:r>
        <w:rPr>
          <w:rtl w:val="0"/>
        </w:rPr>
      </w:r>
    </w:p>
    <w:p xmlns:wp14="http://schemas.microsoft.com/office/word/2010/wordml" w:rsidRDefault="00000000" w14:paraId="0000002A" wp14:textId="77777777">
      <w:pPr>
        <w:rPr>
          <w:b w:val="1"/>
          <w:bCs w:val="1"/>
          <w:sz w:val="18"/>
          <w:szCs w:val="18"/>
        </w:rPr>
      </w:pPr>
      <w:r>
        <w:rPr>
          <w:b w:val="1"/>
          <w:bCs w:val="1"/>
          <w:sz w:val="18"/>
          <w:szCs w:val="18"/>
          <w:rtl w:val="0"/>
        </w:rPr>
        <w:t xml:space="preserve">Special Thanks </w:t>
      </w:r>
    </w:p>
    <w:p xmlns:wp14="http://schemas.microsoft.com/office/word/2010/wordml" w:rsidRDefault="00000000" w14:paraId="0000002B" wp14:textId="77777777">
      <w:pPr>
        <w:rPr>
          <w:sz w:val="18"/>
          <w:szCs w:val="18"/>
        </w:rPr>
      </w:pPr>
      <w:r>
        <w:rPr>
          <w:sz w:val="18"/>
          <w:szCs w:val="18"/>
          <w:rtl w:val="0"/>
        </w:rPr>
        <w:t xml:space="preserve">Thanks to Pete Chatz, Senior Account Executive, AWS</w:t>
      </w:r>
    </w:p>
    <w:p xmlns:wp14="http://schemas.microsoft.com/office/word/2010/wordml" w:rsidRDefault="00000000" w14:paraId="0000002C" wp14:textId="77777777">
      <w:pPr>
        <w:rPr>
          <w:sz w:val="18"/>
          <w:szCs w:val="18"/>
        </w:rPr>
      </w:pPr>
      <w:r w:rsidRPr="231ADB69" w:rsidR="231ADB69">
        <w:rPr>
          <w:sz w:val="18"/>
          <w:szCs w:val="18"/>
          <w:lang w:val="en-US"/>
        </w:rPr>
        <w:t xml:space="preserve">Kristine Azis, Partner Sales Manager, AWS</w:t>
      </w:r>
      <w:r>
        <w:rPr>
          <w:sz w:val="18"/>
          <w:szCs w:val="18"/>
          <w:rtl w:val="0"/>
        </w:rPr>
        <w:br w:type="textWrapping"/>
      </w:r>
      <w:r w:rsidRPr="231ADB69" w:rsidR="231ADB69">
        <w:rPr>
          <w:sz w:val="18"/>
          <w:szCs w:val="18"/>
          <w:lang w:val="en-US"/>
        </w:rPr>
        <w:t xml:space="preserve">Ray Thomas, Sr. Sales Manager, AWS</w:t>
      </w:r>
      <w:r>
        <w:rPr>
          <w:rtl w:val="0"/>
        </w:rPr>
      </w:r>
    </w:p>
    <w:p xmlns:wp14="http://schemas.microsoft.com/office/word/2010/wordml" w:rsidRDefault="00000000" w14:paraId="0000002D" wp14:textId="77777777">
      <w:pPr>
        <w:spacing w:before="240" w:after="240" w:lineRule="auto"/>
        <w:ind w:left="0" w:firstLine="0"/>
        <w:rPr/>
      </w:pPr>
      <w:r>
        <w:rPr>
          <w:rtl w:val="0"/>
        </w:rPr>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742c1138"/>
  </w:abstract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3CB9A204"/>
  <w15:docId w15:val="{21452FD8-F84F-4705-B7D5-C3F42015CED4}"/>
  <w:rsids>
    <w:rsidRoot w:val="231ADB69"/>
    <w:rsid w:val="231ADB69"/>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3" /><Relationship Type="http://schemas.openxmlformats.org/officeDocument/2006/relationships/image" Target="media/image2.png"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image" Target="media/image1.png" Id="rId6" /><Relationship Type="http://schemas.openxmlformats.org/officeDocument/2006/relationships/styles" Target="styles.xml" Id="rId5" /><Relationship Type="http://schemas.openxmlformats.org/officeDocument/2006/relationships/customXml" Target="../customXml/item3.xml" Id="rId10" /><Relationship Type="http://schemas.openxmlformats.org/officeDocument/2006/relationships/numbering" Target="numbering.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B9CF0E25E7C440AADA315BF431BF70" ma:contentTypeVersion="11" ma:contentTypeDescription="Create a new document." ma:contentTypeScope="" ma:versionID="af6b2dbe0ac4a214954c0941dd7e4f5d">
  <xsd:schema xmlns:xsd="http://www.w3.org/2001/XMLSchema" xmlns:xs="http://www.w3.org/2001/XMLSchema" xmlns:p="http://schemas.microsoft.com/office/2006/metadata/properties" xmlns:ns2="ddbcd4d3-af49-41a4-8ba3-46405a8f986c" xmlns:ns3="4ceefeaf-30bb-490f-b448-ccb6d9d5e1e3" targetNamespace="http://schemas.microsoft.com/office/2006/metadata/properties" ma:root="true" ma:fieldsID="9033d417cd7d8530bc1d7ea176b56489" ns2:_="" ns3:_="">
    <xsd:import namespace="ddbcd4d3-af49-41a4-8ba3-46405a8f986c"/>
    <xsd:import namespace="4ceefeaf-30bb-490f-b448-ccb6d9d5e1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cd4d3-af49-41a4-8ba3-46405a8f9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ab66ea-cec7-4ca2-a1de-1c2ee088448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eefeaf-30bb-490f-b448-ccb6d9d5e1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4ddd61f-3136-4ed7-9b26-a057c59052e2}" ma:internalName="TaxCatchAll" ma:showField="CatchAllData" ma:web="4ceefeaf-30bb-490f-b448-ccb6d9d5e1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bcd4d3-af49-41a4-8ba3-46405a8f986c">
      <Terms xmlns="http://schemas.microsoft.com/office/infopath/2007/PartnerControls"/>
    </lcf76f155ced4ddcb4097134ff3c332f>
    <TaxCatchAll xmlns="4ceefeaf-30bb-490f-b448-ccb6d9d5e1e3" xsi:nil="true"/>
  </documentManagement>
</p:properties>
</file>

<file path=customXml/itemProps1.xml><?xml version="1.0" encoding="utf-8"?>
<ds:datastoreItem xmlns:ds="http://schemas.openxmlformats.org/officeDocument/2006/customXml" ds:itemID="{30DCE1E0-58CF-494A-A96A-AB1CCC660FD8}"/>
</file>

<file path=customXml/itemProps2.xml><?xml version="1.0" encoding="utf-8"?>
<ds:datastoreItem xmlns:ds="http://schemas.openxmlformats.org/officeDocument/2006/customXml" ds:itemID="{8430BC8C-5C31-4320-B985-ECC88BF591AD}"/>
</file>

<file path=customXml/itemProps3.xml><?xml version="1.0" encoding="utf-8"?>
<ds:datastoreItem xmlns:ds="http://schemas.openxmlformats.org/officeDocument/2006/customXml" ds:itemID="{476D21F5-B5B0-4F85-ACFC-0E6DB4CFD659}"/>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0x01010018B9CF0E25E7C440AADA315BF431BF70</vt:lpwstr>
  </property>
  <property fmtid="{D5CDD505-2E9C-101B-9397-08002B2CF9AE}" pid="4" name="docLang">
    <vt:lpwstr>en</vt:lpwstr>
  </property>
  <property fmtid="{D5CDD505-2E9C-101B-9397-08002B2CF9AE}" pid="5" name="MediaServiceImageTags">
    <vt:lpwstr/>
  </property>
</Properties>
</file>